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11B" w:rsidRPr="00CC1AD1" w:rsidRDefault="009E26B0" w:rsidP="000451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4A5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39" behindDoc="0" locked="0" layoutInCell="1" allowOverlap="1" wp14:anchorId="4B0ACDAD" wp14:editId="78814D8C">
            <wp:simplePos x="0" y="0"/>
            <wp:positionH relativeFrom="page">
              <wp:align>left</wp:align>
            </wp:positionH>
            <wp:positionV relativeFrom="paragraph">
              <wp:posOffset>5938</wp:posOffset>
            </wp:positionV>
            <wp:extent cx="7788275" cy="1911350"/>
            <wp:effectExtent l="0" t="0" r="3175" b="0"/>
            <wp:wrapSquare wrapText="bothSides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91" b="46406"/>
                    <a:stretch/>
                  </pic:blipFill>
                  <pic:spPr bwMode="auto">
                    <a:xfrm>
                      <a:off x="0" y="0"/>
                      <a:ext cx="7813149" cy="191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261" w:rsidRPr="00E94A5F"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388DCB0" wp14:editId="048703EA">
                <wp:simplePos x="0" y="0"/>
                <wp:positionH relativeFrom="margin">
                  <wp:posOffset>1333500</wp:posOffset>
                </wp:positionH>
                <wp:positionV relativeFrom="paragraph">
                  <wp:posOffset>1466850</wp:posOffset>
                </wp:positionV>
                <wp:extent cx="57340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A5F" w:rsidRPr="00E94A5F" w:rsidRDefault="00E94A5F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4A5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Standard Steel and Concrete Bridges in Missouri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88DC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pt;margin-top:115.5pt;width:451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" filled="f" stroked="f">
                <v:textbox style="mso-fit-shape-to-text:t">
                  <w:txbxContent>
                    <w:p w:rsidR="00E94A5F" w:rsidRPr="00E94A5F" w:rsidRDefault="00E94A5F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94A5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Standard Steel and Concrete Bridges in Missouri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511B" w:rsidRPr="0004511B">
        <w:rPr>
          <w:rFonts w:ascii="Times New Roman" w:hAnsi="Times New Roman" w:cs="Times New Roman"/>
          <w:b/>
          <w:color w:val="C00000"/>
        </w:rPr>
        <w:t>B</w:t>
      </w:r>
      <w:r w:rsidR="0004511B" w:rsidRPr="00CC1AD1">
        <w:rPr>
          <w:rFonts w:ascii="Times New Roman" w:hAnsi="Times New Roman" w:cs="Times New Roman"/>
          <w:b/>
          <w:color w:val="C00000"/>
          <w:sz w:val="20"/>
          <w:szCs w:val="20"/>
        </w:rPr>
        <w:t>ackground</w:t>
      </w:r>
    </w:p>
    <w:p w:rsidR="002768D3" w:rsidRPr="00CC1AD1" w:rsidRDefault="00327404" w:rsidP="002768D3">
      <w:pPr>
        <w:pStyle w:val="ListParagraph"/>
        <w:numPr>
          <w:ilvl w:val="0"/>
          <w:numId w:val="5"/>
        </w:numPr>
        <w:spacing w:after="0"/>
        <w:ind w:left="540"/>
        <w:rPr>
          <w:rFonts w:ascii="Times New Roman" w:hAnsi="Times New Roman" w:cs="Times New Roman"/>
          <w:sz w:val="20"/>
          <w:szCs w:val="20"/>
        </w:rPr>
      </w:pPr>
      <w:r w:rsidRPr="00CC1AD1">
        <w:rPr>
          <w:rFonts w:ascii="Times New Roman" w:hAnsi="Times New Roman" w:cs="Times New Roman"/>
          <w:sz w:val="20"/>
          <w:szCs w:val="20"/>
        </w:rPr>
        <w:t>For most of the last two decades the belief around the bridge industry in the U.S. was that concrete girder bridges were cheaper to construct than equivalent steel girder bridges</w:t>
      </w:r>
      <w:r w:rsidR="005243CF" w:rsidRPr="00CC1AD1">
        <w:rPr>
          <w:rFonts w:ascii="Times New Roman" w:hAnsi="Times New Roman" w:cs="Times New Roman"/>
          <w:sz w:val="20"/>
          <w:szCs w:val="20"/>
        </w:rPr>
        <w:t xml:space="preserve">. This belief </w:t>
      </w:r>
      <w:r w:rsidR="00EC16E2" w:rsidRPr="00CC1AD1">
        <w:rPr>
          <w:rFonts w:ascii="Times New Roman" w:hAnsi="Times New Roman" w:cs="Times New Roman"/>
          <w:sz w:val="20"/>
          <w:szCs w:val="20"/>
        </w:rPr>
        <w:t>was</w:t>
      </w:r>
      <w:r w:rsidRPr="00CC1AD1">
        <w:rPr>
          <w:rFonts w:ascii="Times New Roman" w:hAnsi="Times New Roman" w:cs="Times New Roman"/>
          <w:sz w:val="20"/>
          <w:szCs w:val="20"/>
        </w:rPr>
        <w:t xml:space="preserve"> </w:t>
      </w:r>
      <w:r w:rsidR="005243CF" w:rsidRPr="00CC1AD1">
        <w:rPr>
          <w:rFonts w:ascii="Times New Roman" w:hAnsi="Times New Roman" w:cs="Times New Roman"/>
          <w:sz w:val="20"/>
          <w:szCs w:val="20"/>
        </w:rPr>
        <w:t>common</w:t>
      </w:r>
      <w:r w:rsidRPr="00CC1AD1">
        <w:rPr>
          <w:rFonts w:ascii="Times New Roman" w:hAnsi="Times New Roman" w:cs="Times New Roman"/>
          <w:sz w:val="20"/>
          <w:szCs w:val="20"/>
        </w:rPr>
        <w:t xml:space="preserve"> for spans less than 120 feet</w:t>
      </w:r>
      <w:r w:rsidR="002768D3" w:rsidRPr="00CC1AD1">
        <w:rPr>
          <w:rFonts w:ascii="Times New Roman" w:hAnsi="Times New Roman" w:cs="Times New Roman"/>
          <w:sz w:val="20"/>
          <w:szCs w:val="20"/>
        </w:rPr>
        <w:t>.</w:t>
      </w:r>
    </w:p>
    <w:p w:rsidR="002768D3" w:rsidRPr="00CC1AD1" w:rsidRDefault="002768D3" w:rsidP="00226FE5">
      <w:pPr>
        <w:pStyle w:val="ListParagraph"/>
        <w:numPr>
          <w:ilvl w:val="0"/>
          <w:numId w:val="5"/>
        </w:numPr>
        <w:spacing w:after="0"/>
        <w:ind w:left="540"/>
        <w:rPr>
          <w:rFonts w:ascii="Times New Roman" w:hAnsi="Times New Roman" w:cs="Times New Roman"/>
          <w:sz w:val="20"/>
          <w:szCs w:val="20"/>
        </w:rPr>
      </w:pPr>
      <w:r w:rsidRPr="00CC1AD1">
        <w:rPr>
          <w:rFonts w:ascii="Times New Roman" w:hAnsi="Times New Roman" w:cs="Times New Roman"/>
          <w:sz w:val="20"/>
          <w:szCs w:val="20"/>
        </w:rPr>
        <w:t xml:space="preserve">This myth </w:t>
      </w:r>
      <w:r w:rsidR="00226FE5" w:rsidRPr="00CC1AD1">
        <w:rPr>
          <w:rFonts w:ascii="Times New Roman" w:hAnsi="Times New Roman" w:cs="Times New Roman"/>
          <w:sz w:val="20"/>
          <w:szCs w:val="20"/>
        </w:rPr>
        <w:t xml:space="preserve">was perpetuated because steel </w:t>
      </w:r>
      <w:r w:rsidR="005243CF" w:rsidRPr="00CC1AD1">
        <w:rPr>
          <w:rFonts w:ascii="Times New Roman" w:hAnsi="Times New Roman" w:cs="Times New Roman"/>
          <w:sz w:val="20"/>
          <w:szCs w:val="20"/>
        </w:rPr>
        <w:t>was</w:t>
      </w:r>
      <w:r w:rsidR="00226FE5" w:rsidRPr="00CC1AD1">
        <w:rPr>
          <w:rFonts w:ascii="Times New Roman" w:hAnsi="Times New Roman" w:cs="Times New Roman"/>
          <w:sz w:val="20"/>
          <w:szCs w:val="20"/>
        </w:rPr>
        <w:t xml:space="preserve"> often used on more complex, expensive bridges</w:t>
      </w:r>
      <w:r w:rsidR="007F0278" w:rsidRPr="00CC1AD1">
        <w:rPr>
          <w:rFonts w:ascii="Times New Roman" w:hAnsi="Times New Roman" w:cs="Times New Roman"/>
          <w:sz w:val="20"/>
          <w:szCs w:val="20"/>
        </w:rPr>
        <w:t xml:space="preserve">, </w:t>
      </w:r>
      <w:r w:rsidR="00F17F7F" w:rsidRPr="00CC1AD1">
        <w:rPr>
          <w:rFonts w:ascii="Times New Roman" w:hAnsi="Times New Roman" w:cs="Times New Roman"/>
          <w:sz w:val="20"/>
          <w:szCs w:val="20"/>
        </w:rPr>
        <w:t xml:space="preserve">and those complex bridges increased the initial average cost per square foot of steel bridges. </w:t>
      </w:r>
    </w:p>
    <w:p w:rsidR="00226FE5" w:rsidRPr="00CC1AD1" w:rsidRDefault="00226FE5" w:rsidP="00226FE5">
      <w:pPr>
        <w:pStyle w:val="ListParagraph"/>
        <w:numPr>
          <w:ilvl w:val="0"/>
          <w:numId w:val="5"/>
        </w:numPr>
        <w:spacing w:after="0"/>
        <w:ind w:left="540"/>
        <w:rPr>
          <w:rFonts w:ascii="Times New Roman" w:hAnsi="Times New Roman" w:cs="Times New Roman"/>
          <w:sz w:val="20"/>
          <w:szCs w:val="20"/>
        </w:rPr>
      </w:pPr>
      <w:r w:rsidRPr="00CC1AD1">
        <w:rPr>
          <w:rFonts w:ascii="Times New Roman" w:hAnsi="Times New Roman" w:cs="Times New Roman"/>
          <w:sz w:val="20"/>
          <w:szCs w:val="20"/>
        </w:rPr>
        <w:t xml:space="preserve">Given budget constraints, </w:t>
      </w:r>
      <w:proofErr w:type="spellStart"/>
      <w:r w:rsidRPr="00CC1AD1">
        <w:rPr>
          <w:rFonts w:ascii="Times New Roman" w:hAnsi="Times New Roman" w:cs="Times New Roman"/>
          <w:sz w:val="20"/>
          <w:szCs w:val="20"/>
        </w:rPr>
        <w:t>MoDOT</w:t>
      </w:r>
      <w:proofErr w:type="spellEnd"/>
      <w:r w:rsidRPr="00CC1AD1">
        <w:rPr>
          <w:rFonts w:ascii="Times New Roman" w:hAnsi="Times New Roman" w:cs="Times New Roman"/>
          <w:sz w:val="20"/>
          <w:szCs w:val="20"/>
        </w:rPr>
        <w:t xml:space="preserve"> decide</w:t>
      </w:r>
      <w:r w:rsidR="00F17F7F" w:rsidRPr="00CC1AD1">
        <w:rPr>
          <w:rFonts w:ascii="Times New Roman" w:hAnsi="Times New Roman" w:cs="Times New Roman"/>
          <w:sz w:val="20"/>
          <w:szCs w:val="20"/>
        </w:rPr>
        <w:t>d</w:t>
      </w:r>
      <w:r w:rsidRPr="00CC1AD1">
        <w:rPr>
          <w:rFonts w:ascii="Times New Roman" w:hAnsi="Times New Roman" w:cs="Times New Roman"/>
          <w:sz w:val="20"/>
          <w:szCs w:val="20"/>
        </w:rPr>
        <w:t xml:space="preserve"> whether to construct a steel or concrete bridge based only on initial cos</w:t>
      </w:r>
      <w:r w:rsidR="00F17F7F" w:rsidRPr="00CC1AD1">
        <w:rPr>
          <w:rFonts w:ascii="Times New Roman" w:hAnsi="Times New Roman" w:cs="Times New Roman"/>
          <w:sz w:val="20"/>
          <w:szCs w:val="20"/>
        </w:rPr>
        <w:t>t.</w:t>
      </w:r>
      <w:r w:rsidRPr="00CC1AD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6FE5" w:rsidRPr="00CC1AD1" w:rsidRDefault="00226FE5" w:rsidP="00226FE5">
      <w:pPr>
        <w:pStyle w:val="ListParagraph"/>
        <w:numPr>
          <w:ilvl w:val="0"/>
          <w:numId w:val="5"/>
        </w:numPr>
        <w:spacing w:after="0"/>
        <w:ind w:left="540"/>
        <w:rPr>
          <w:rFonts w:ascii="Times New Roman" w:hAnsi="Times New Roman" w:cs="Times New Roman"/>
          <w:sz w:val="20"/>
          <w:szCs w:val="20"/>
        </w:rPr>
      </w:pPr>
      <w:r w:rsidRPr="00CC1AD1">
        <w:rPr>
          <w:rFonts w:ascii="Times New Roman" w:hAnsi="Times New Roman" w:cs="Times New Roman"/>
          <w:sz w:val="20"/>
          <w:szCs w:val="20"/>
        </w:rPr>
        <w:t xml:space="preserve">Since May </w:t>
      </w:r>
      <w:r w:rsidR="00F17F7F" w:rsidRPr="00CC1AD1">
        <w:rPr>
          <w:rFonts w:ascii="Times New Roman" w:hAnsi="Times New Roman" w:cs="Times New Roman"/>
          <w:sz w:val="20"/>
          <w:szCs w:val="20"/>
        </w:rPr>
        <w:t xml:space="preserve">of </w:t>
      </w:r>
      <w:r w:rsidRPr="00CC1AD1">
        <w:rPr>
          <w:rFonts w:ascii="Times New Roman" w:hAnsi="Times New Roman" w:cs="Times New Roman"/>
          <w:sz w:val="20"/>
          <w:szCs w:val="20"/>
        </w:rPr>
        <w:t>2017, DeLong’s</w:t>
      </w:r>
      <w:r w:rsidR="00F17F7F" w:rsidRPr="00CC1AD1">
        <w:rPr>
          <w:rFonts w:ascii="Times New Roman" w:hAnsi="Times New Roman" w:cs="Times New Roman"/>
          <w:sz w:val="20"/>
          <w:szCs w:val="20"/>
        </w:rPr>
        <w:t>, Inc.</w:t>
      </w:r>
      <w:r w:rsidRPr="00CC1AD1">
        <w:rPr>
          <w:rFonts w:ascii="Times New Roman" w:hAnsi="Times New Roman" w:cs="Times New Roman"/>
          <w:sz w:val="20"/>
          <w:szCs w:val="20"/>
        </w:rPr>
        <w:t xml:space="preserve"> representatives </w:t>
      </w:r>
      <w:r w:rsidR="007F0278" w:rsidRPr="00CC1AD1">
        <w:rPr>
          <w:rFonts w:ascii="Times New Roman" w:hAnsi="Times New Roman" w:cs="Times New Roman"/>
          <w:sz w:val="20"/>
          <w:szCs w:val="20"/>
        </w:rPr>
        <w:t xml:space="preserve">have </w:t>
      </w:r>
      <w:r w:rsidR="00F17F7F" w:rsidRPr="00CC1AD1">
        <w:rPr>
          <w:rFonts w:ascii="Times New Roman" w:hAnsi="Times New Roman" w:cs="Times New Roman"/>
          <w:sz w:val="20"/>
          <w:szCs w:val="20"/>
        </w:rPr>
        <w:t>worked</w:t>
      </w:r>
      <w:r w:rsidRPr="00CC1AD1">
        <w:rPr>
          <w:rFonts w:ascii="Times New Roman" w:hAnsi="Times New Roman" w:cs="Times New Roman"/>
          <w:sz w:val="20"/>
          <w:szCs w:val="20"/>
        </w:rPr>
        <w:t xml:space="preserve"> closely with </w:t>
      </w:r>
      <w:proofErr w:type="spellStart"/>
      <w:r w:rsidRPr="00CC1AD1">
        <w:rPr>
          <w:rFonts w:ascii="Times New Roman" w:hAnsi="Times New Roman" w:cs="Times New Roman"/>
          <w:sz w:val="20"/>
          <w:szCs w:val="20"/>
        </w:rPr>
        <w:t>MoDOT</w:t>
      </w:r>
      <w:proofErr w:type="spellEnd"/>
      <w:r w:rsidRPr="00CC1AD1">
        <w:rPr>
          <w:rFonts w:ascii="Times New Roman" w:hAnsi="Times New Roman" w:cs="Times New Roman"/>
          <w:sz w:val="20"/>
          <w:szCs w:val="20"/>
        </w:rPr>
        <w:t xml:space="preserve"> to review historical cost data regarding the initial cost </w:t>
      </w:r>
      <w:r w:rsidR="007F0278" w:rsidRPr="00CC1AD1">
        <w:rPr>
          <w:rFonts w:ascii="Times New Roman" w:hAnsi="Times New Roman" w:cs="Times New Roman"/>
          <w:sz w:val="20"/>
          <w:szCs w:val="20"/>
        </w:rPr>
        <w:t xml:space="preserve">of </w:t>
      </w:r>
      <w:r w:rsidR="007472E5" w:rsidRPr="00CC1AD1">
        <w:rPr>
          <w:rFonts w:ascii="Times New Roman" w:hAnsi="Times New Roman" w:cs="Times New Roman"/>
          <w:sz w:val="20"/>
          <w:szCs w:val="20"/>
        </w:rPr>
        <w:t xml:space="preserve">comparable structures, </w:t>
      </w:r>
      <w:r w:rsidRPr="00CC1AD1">
        <w:rPr>
          <w:rFonts w:ascii="Times New Roman" w:hAnsi="Times New Roman" w:cs="Times New Roman"/>
          <w:sz w:val="20"/>
          <w:szCs w:val="20"/>
        </w:rPr>
        <w:t xml:space="preserve">standard steel and concrete bridges. </w:t>
      </w:r>
    </w:p>
    <w:p w:rsidR="00327404" w:rsidRPr="00CC1AD1" w:rsidRDefault="0005161D" w:rsidP="003F0266">
      <w:pPr>
        <w:pStyle w:val="ListParagraph"/>
        <w:numPr>
          <w:ilvl w:val="0"/>
          <w:numId w:val="5"/>
        </w:numPr>
        <w:spacing w:after="0" w:line="240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CC1AD1">
        <w:rPr>
          <w:rFonts w:ascii="Times New Roman" w:hAnsi="Times New Roman" w:cs="Times New Roman"/>
          <w:sz w:val="20"/>
          <w:szCs w:val="20"/>
        </w:rPr>
        <w:t>R</w:t>
      </w:r>
      <w:r w:rsidR="00F17F7F" w:rsidRPr="00CC1AD1">
        <w:rPr>
          <w:rFonts w:ascii="Times New Roman" w:hAnsi="Times New Roman" w:cs="Times New Roman"/>
          <w:sz w:val="20"/>
          <w:szCs w:val="20"/>
        </w:rPr>
        <w:t>esearch</w:t>
      </w:r>
      <w:r w:rsidR="00226FE5" w:rsidRPr="00CC1AD1">
        <w:rPr>
          <w:rFonts w:ascii="Times New Roman" w:hAnsi="Times New Roman" w:cs="Times New Roman"/>
          <w:sz w:val="20"/>
          <w:szCs w:val="20"/>
        </w:rPr>
        <w:t xml:space="preserve"> showed </w:t>
      </w:r>
      <w:r w:rsidR="00F17F7F" w:rsidRPr="00CC1AD1">
        <w:rPr>
          <w:rFonts w:ascii="Times New Roman" w:hAnsi="Times New Roman" w:cs="Times New Roman"/>
          <w:sz w:val="20"/>
          <w:szCs w:val="20"/>
        </w:rPr>
        <w:t xml:space="preserve">the initial average cost per square foot of standard steel and concrete bridges </w:t>
      </w:r>
      <w:r w:rsidR="007472E5" w:rsidRPr="00CC1AD1">
        <w:rPr>
          <w:rFonts w:ascii="Times New Roman" w:hAnsi="Times New Roman" w:cs="Times New Roman"/>
          <w:sz w:val="20"/>
          <w:szCs w:val="20"/>
        </w:rPr>
        <w:t>was</w:t>
      </w:r>
      <w:r w:rsidR="00F17F7F" w:rsidRPr="00CC1AD1">
        <w:rPr>
          <w:rFonts w:ascii="Times New Roman" w:hAnsi="Times New Roman" w:cs="Times New Roman"/>
          <w:sz w:val="20"/>
          <w:szCs w:val="20"/>
        </w:rPr>
        <w:t xml:space="preserve"> </w:t>
      </w:r>
      <w:r w:rsidRPr="00CC1AD1">
        <w:rPr>
          <w:rFonts w:ascii="Times New Roman" w:hAnsi="Times New Roman" w:cs="Times New Roman"/>
          <w:sz w:val="20"/>
          <w:szCs w:val="20"/>
        </w:rPr>
        <w:t>comparable</w:t>
      </w:r>
      <w:r w:rsidR="00F17F7F" w:rsidRPr="00CC1AD1">
        <w:rPr>
          <w:rFonts w:ascii="Times New Roman" w:hAnsi="Times New Roman" w:cs="Times New Roman"/>
          <w:sz w:val="20"/>
          <w:szCs w:val="20"/>
        </w:rPr>
        <w:t>.</w:t>
      </w:r>
    </w:p>
    <w:p w:rsidR="003F0266" w:rsidRPr="00CC1AD1" w:rsidRDefault="003F0266" w:rsidP="003F0266">
      <w:pPr>
        <w:pStyle w:val="ListParagraph"/>
        <w:spacing w:after="0" w:line="240" w:lineRule="auto"/>
        <w:ind w:left="540"/>
        <w:rPr>
          <w:rFonts w:ascii="Times New Roman" w:hAnsi="Times New Roman" w:cs="Times New Roman"/>
          <w:sz w:val="20"/>
          <w:szCs w:val="20"/>
        </w:rPr>
      </w:pPr>
    </w:p>
    <w:p w:rsidR="00303448" w:rsidRPr="00CC1AD1" w:rsidRDefault="0004511B" w:rsidP="0004511B">
      <w:pPr>
        <w:spacing w:after="0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CC1AD1">
        <w:rPr>
          <w:rFonts w:ascii="Times New Roman" w:hAnsi="Times New Roman" w:cs="Times New Roman"/>
          <w:b/>
          <w:color w:val="C00000"/>
          <w:sz w:val="20"/>
          <w:szCs w:val="20"/>
        </w:rPr>
        <w:t>Recent Actions</w:t>
      </w:r>
    </w:p>
    <w:p w:rsidR="00303448" w:rsidRPr="00CC1AD1" w:rsidRDefault="00F17F7F" w:rsidP="00AD45C5">
      <w:pPr>
        <w:rPr>
          <w:rFonts w:ascii="Times New Roman" w:hAnsi="Times New Roman" w:cs="Times New Roman"/>
          <w:sz w:val="20"/>
          <w:szCs w:val="20"/>
        </w:rPr>
      </w:pPr>
      <w:r w:rsidRPr="00CC1AD1">
        <w:rPr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4AADCF6B" wp14:editId="08FB2A8B">
            <wp:simplePos x="0" y="0"/>
            <wp:positionH relativeFrom="column">
              <wp:posOffset>64770</wp:posOffset>
            </wp:positionH>
            <wp:positionV relativeFrom="paragraph">
              <wp:posOffset>189230</wp:posOffset>
            </wp:positionV>
            <wp:extent cx="3443605" cy="1170305"/>
            <wp:effectExtent l="76200" t="19050" r="80645" b="125095"/>
            <wp:wrapSquare wrapText="bothSides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0CD2982A-B1CA-4398-BEDF-D709C3666E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0CD2982A-B1CA-4398-BEDF-D709C3666E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21538" t="44333" r="43953" b="33884"/>
                    <a:stretch/>
                  </pic:blipFill>
                  <pic:spPr>
                    <a:xfrm>
                      <a:off x="0" y="0"/>
                      <a:ext cx="3443605" cy="11703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50800" dir="54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448" w:rsidRPr="00CC1AD1">
        <w:rPr>
          <w:rFonts w:ascii="Times New Roman" w:hAnsi="Times New Roman" w:cs="Times New Roman"/>
          <w:sz w:val="20"/>
          <w:szCs w:val="20"/>
        </w:rPr>
        <w:t>Based on the</w:t>
      </w:r>
      <w:r w:rsidR="00EC16E2" w:rsidRPr="00CC1AD1">
        <w:rPr>
          <w:rFonts w:ascii="Times New Roman" w:hAnsi="Times New Roman" w:cs="Times New Roman"/>
          <w:sz w:val="20"/>
          <w:szCs w:val="20"/>
        </w:rPr>
        <w:t xml:space="preserve"> actual</w:t>
      </w:r>
      <w:r w:rsidR="00303448" w:rsidRPr="00CC1AD1">
        <w:rPr>
          <w:rFonts w:ascii="Times New Roman" w:hAnsi="Times New Roman" w:cs="Times New Roman"/>
          <w:sz w:val="20"/>
          <w:szCs w:val="20"/>
        </w:rPr>
        <w:t xml:space="preserve"> cost data, in December 2017, </w:t>
      </w:r>
      <w:proofErr w:type="spellStart"/>
      <w:r w:rsidR="00303448" w:rsidRPr="00CC1AD1">
        <w:rPr>
          <w:rFonts w:ascii="Times New Roman" w:hAnsi="Times New Roman" w:cs="Times New Roman"/>
          <w:sz w:val="20"/>
          <w:szCs w:val="20"/>
        </w:rPr>
        <w:t>MoDOT</w:t>
      </w:r>
      <w:proofErr w:type="spellEnd"/>
      <w:r w:rsidR="00303448" w:rsidRPr="00CC1AD1">
        <w:rPr>
          <w:rFonts w:ascii="Times New Roman" w:hAnsi="Times New Roman" w:cs="Times New Roman"/>
          <w:sz w:val="20"/>
          <w:szCs w:val="20"/>
        </w:rPr>
        <w:t xml:space="preserve"> </w:t>
      </w:r>
      <w:r w:rsidR="00327404" w:rsidRPr="00CC1AD1">
        <w:rPr>
          <w:rFonts w:ascii="Times New Roman" w:hAnsi="Times New Roman" w:cs="Times New Roman"/>
          <w:sz w:val="20"/>
          <w:szCs w:val="20"/>
        </w:rPr>
        <w:t>updated</w:t>
      </w:r>
      <w:r w:rsidR="00303448" w:rsidRPr="00CC1AD1">
        <w:rPr>
          <w:rFonts w:ascii="Times New Roman" w:hAnsi="Times New Roman" w:cs="Times New Roman"/>
          <w:sz w:val="20"/>
          <w:szCs w:val="20"/>
        </w:rPr>
        <w:t xml:space="preserve"> the</w:t>
      </w:r>
      <w:r w:rsidR="00327404" w:rsidRPr="00CC1AD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27404" w:rsidRPr="00CC1AD1">
        <w:rPr>
          <w:rFonts w:ascii="Times New Roman" w:hAnsi="Times New Roman" w:cs="Times New Roman"/>
          <w:sz w:val="20"/>
          <w:szCs w:val="20"/>
        </w:rPr>
        <w:t>MoDOT</w:t>
      </w:r>
      <w:proofErr w:type="spellEnd"/>
      <w:r w:rsidR="00303448" w:rsidRPr="00CC1AD1">
        <w:rPr>
          <w:rFonts w:ascii="Times New Roman" w:hAnsi="Times New Roman" w:cs="Times New Roman"/>
          <w:sz w:val="20"/>
          <w:szCs w:val="20"/>
        </w:rPr>
        <w:t xml:space="preserve"> Engineering Policy Guide to </w:t>
      </w:r>
      <w:r w:rsidR="00327404" w:rsidRPr="00CC1AD1">
        <w:rPr>
          <w:rFonts w:ascii="Times New Roman" w:hAnsi="Times New Roman" w:cs="Times New Roman"/>
          <w:sz w:val="20"/>
          <w:szCs w:val="20"/>
        </w:rPr>
        <w:t>specify</w:t>
      </w:r>
      <w:r w:rsidR="00303448" w:rsidRPr="00CC1AD1">
        <w:rPr>
          <w:rFonts w:ascii="Times New Roman" w:hAnsi="Times New Roman" w:cs="Times New Roman"/>
          <w:sz w:val="20"/>
          <w:szCs w:val="20"/>
        </w:rPr>
        <w:t xml:space="preserve"> steel and concrete bridges </w:t>
      </w:r>
      <w:r w:rsidR="00327404" w:rsidRPr="00CC1AD1">
        <w:rPr>
          <w:rFonts w:ascii="Times New Roman" w:hAnsi="Times New Roman" w:cs="Times New Roman"/>
          <w:sz w:val="20"/>
          <w:szCs w:val="20"/>
        </w:rPr>
        <w:t>as the same initial cost</w:t>
      </w:r>
      <w:r w:rsidRPr="00CC1AD1">
        <w:rPr>
          <w:rFonts w:ascii="Times New Roman" w:hAnsi="Times New Roman" w:cs="Times New Roman"/>
          <w:sz w:val="20"/>
          <w:szCs w:val="20"/>
        </w:rPr>
        <w:t>.</w:t>
      </w:r>
    </w:p>
    <w:p w:rsidR="00DA0D0E" w:rsidRPr="00CC1AD1" w:rsidRDefault="00C4058B" w:rsidP="000451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1AD1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4185180B" wp14:editId="574153BA">
            <wp:simplePos x="0" y="0"/>
            <wp:positionH relativeFrom="column">
              <wp:posOffset>3780980</wp:posOffset>
            </wp:positionH>
            <wp:positionV relativeFrom="paragraph">
              <wp:posOffset>589280</wp:posOffset>
            </wp:positionV>
            <wp:extent cx="2944495" cy="1746885"/>
            <wp:effectExtent l="0" t="0" r="8255" b="5715"/>
            <wp:wrapTight wrapText="bothSides">
              <wp:wrapPolygon edited="0">
                <wp:start x="0" y="0"/>
                <wp:lineTo x="0" y="21435"/>
                <wp:lineTo x="21521" y="21435"/>
                <wp:lineTo x="2152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174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F7F" w:rsidRPr="00CC1AD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9BD4D7" wp14:editId="7A8712B7">
                <wp:simplePos x="0" y="0"/>
                <wp:positionH relativeFrom="margin">
                  <wp:posOffset>3057896</wp:posOffset>
                </wp:positionH>
                <wp:positionV relativeFrom="paragraph">
                  <wp:posOffset>73751</wp:posOffset>
                </wp:positionV>
                <wp:extent cx="498764" cy="142504"/>
                <wp:effectExtent l="0" t="0" r="15875" b="10160"/>
                <wp:wrapNone/>
                <wp:docPr id="9" name="Oval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98764" cy="142504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E73EC3" id="Oval 4" o:spid="_x0000_s1026" style="position:absolute;margin-left:240.8pt;margin-top:5.8pt;width:39.25pt;height:11.2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" filled="f" strokecolor="red" strokeweight="1.75pt">
                <v:stroke joinstyle="miter"/>
                <w10:wrap anchorx="margin"/>
              </v:oval>
            </w:pict>
          </mc:Fallback>
        </mc:AlternateContent>
      </w:r>
      <w:r w:rsidR="00FE43BD" w:rsidRPr="00CC1AD1">
        <w:rPr>
          <w:rFonts w:ascii="Times New Roman" w:hAnsi="Times New Roman" w:cs="Times New Roman"/>
          <w:sz w:val="20"/>
          <w:szCs w:val="20"/>
        </w:rPr>
        <w:t>From</w:t>
      </w:r>
      <w:r w:rsidR="0036725F" w:rsidRPr="00CC1AD1">
        <w:rPr>
          <w:rFonts w:ascii="Times New Roman" w:hAnsi="Times New Roman" w:cs="Times New Roman"/>
          <w:sz w:val="20"/>
          <w:szCs w:val="20"/>
        </w:rPr>
        <w:t xml:space="preserve"> January 2018 through June 2018, </w:t>
      </w:r>
      <w:proofErr w:type="spellStart"/>
      <w:r w:rsidR="0036725F" w:rsidRPr="00CC1AD1">
        <w:rPr>
          <w:rFonts w:ascii="Times New Roman" w:hAnsi="Times New Roman" w:cs="Times New Roman"/>
          <w:sz w:val="20"/>
          <w:szCs w:val="20"/>
        </w:rPr>
        <w:t>MoDOT</w:t>
      </w:r>
      <w:proofErr w:type="spellEnd"/>
      <w:r w:rsidR="0036725F" w:rsidRPr="00CC1AD1">
        <w:rPr>
          <w:rFonts w:ascii="Times New Roman" w:hAnsi="Times New Roman" w:cs="Times New Roman"/>
          <w:sz w:val="20"/>
          <w:szCs w:val="20"/>
        </w:rPr>
        <w:t xml:space="preserve"> has let 2 standard steel bridges totaling $663,000 and 61 standard concrete bridges totaling $50,250,000. </w:t>
      </w:r>
      <w:r w:rsidR="00DA0D0E" w:rsidRPr="00CC1AD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7F7F" w:rsidRPr="00CC1AD1" w:rsidRDefault="00F17F7F" w:rsidP="0004511B">
      <w:pPr>
        <w:spacing w:after="0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CC1AD1">
        <w:rPr>
          <w:rFonts w:ascii="Times New Roman" w:hAnsi="Times New Roman" w:cs="Times New Roman"/>
          <w:b/>
          <w:color w:val="C00000"/>
          <w:sz w:val="20"/>
          <w:szCs w:val="20"/>
        </w:rPr>
        <w:t>Bridge Types Used in Adjacent States &amp; Missouri Cities and Counties</w:t>
      </w:r>
    </w:p>
    <w:p w:rsidR="00632107" w:rsidRPr="00CC1AD1" w:rsidRDefault="005243CF" w:rsidP="0050054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C1AD1">
        <w:rPr>
          <w:rFonts w:ascii="Times New Roman" w:hAnsi="Times New Roman" w:cs="Times New Roman"/>
          <w:sz w:val="20"/>
          <w:szCs w:val="20"/>
        </w:rPr>
        <w:t>Some</w:t>
      </w:r>
      <w:r w:rsidR="00F17F7F" w:rsidRPr="00CC1AD1">
        <w:rPr>
          <w:rFonts w:ascii="Times New Roman" w:hAnsi="Times New Roman" w:cs="Times New Roman"/>
          <w:sz w:val="20"/>
          <w:szCs w:val="20"/>
        </w:rPr>
        <w:t xml:space="preserve"> surrounding states use significantly more steel </w:t>
      </w:r>
      <w:r w:rsidRPr="00CC1AD1">
        <w:rPr>
          <w:rFonts w:ascii="Times New Roman" w:hAnsi="Times New Roman" w:cs="Times New Roman"/>
          <w:sz w:val="20"/>
          <w:szCs w:val="20"/>
        </w:rPr>
        <w:t xml:space="preserve">for bridges </w:t>
      </w:r>
      <w:r w:rsidR="00F17F7F" w:rsidRPr="00CC1AD1">
        <w:rPr>
          <w:rFonts w:ascii="Times New Roman" w:hAnsi="Times New Roman" w:cs="Times New Roman"/>
          <w:sz w:val="20"/>
          <w:szCs w:val="20"/>
        </w:rPr>
        <w:t>than Missouri.</w:t>
      </w:r>
    </w:p>
    <w:p w:rsidR="00DA0D0E" w:rsidRPr="00CC1AD1" w:rsidRDefault="00DA0D0E" w:rsidP="00DA0D0E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CC1AD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3EAD3B17" wp14:editId="2274982C">
                <wp:simplePos x="0" y="0"/>
                <wp:positionH relativeFrom="margin">
                  <wp:posOffset>3709670</wp:posOffset>
                </wp:positionH>
                <wp:positionV relativeFrom="paragraph">
                  <wp:posOffset>486855</wp:posOffset>
                </wp:positionV>
                <wp:extent cx="3170555" cy="201295"/>
                <wp:effectExtent l="0" t="0" r="0" b="0"/>
                <wp:wrapTight wrapText="bothSides">
                  <wp:wrapPolygon edited="0">
                    <wp:start x="389" y="0"/>
                    <wp:lineTo x="389" y="18397"/>
                    <wp:lineTo x="21154" y="18397"/>
                    <wp:lineTo x="21154" y="0"/>
                    <wp:lineTo x="389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555" cy="201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D0E" w:rsidRPr="00DA0D0E" w:rsidRDefault="00DA0D0E" w:rsidP="00DA0D0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A0D0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0D0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Estimates based on current feedback from State DOT representatives.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D3B17" id="_x0000_s1027" type="#_x0000_t202" style="position:absolute;left:0;text-align:left;margin-left:292.1pt;margin-top:38.35pt;width:249.65pt;height:15.8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" filled="f" stroked="f">
                <v:textbox>
                  <w:txbxContent>
                    <w:p w:rsidR="00DA0D0E" w:rsidRPr="00DA0D0E" w:rsidRDefault="00DA0D0E" w:rsidP="00DA0D0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A0D0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DA0D0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Estimates based on current feedback from State DOT representatives.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17F7F" w:rsidRPr="00CC1AD1">
        <w:rPr>
          <w:rFonts w:ascii="Times New Roman" w:hAnsi="Times New Roman" w:cs="Times New Roman"/>
          <w:sz w:val="20"/>
          <w:szCs w:val="20"/>
        </w:rPr>
        <w:t xml:space="preserve">Missouri cities and counties have built 59 standard steel bridges compared to </w:t>
      </w:r>
      <w:proofErr w:type="spellStart"/>
      <w:r w:rsidR="00F17F7F" w:rsidRPr="00CC1AD1">
        <w:rPr>
          <w:rFonts w:ascii="Times New Roman" w:hAnsi="Times New Roman" w:cs="Times New Roman"/>
          <w:sz w:val="20"/>
          <w:szCs w:val="20"/>
        </w:rPr>
        <w:t>MoDOT’s</w:t>
      </w:r>
      <w:proofErr w:type="spellEnd"/>
      <w:r w:rsidR="00F17F7F" w:rsidRPr="00CC1AD1">
        <w:rPr>
          <w:rFonts w:ascii="Times New Roman" w:hAnsi="Times New Roman" w:cs="Times New Roman"/>
          <w:sz w:val="20"/>
          <w:szCs w:val="20"/>
        </w:rPr>
        <w:t xml:space="preserve"> </w:t>
      </w:r>
      <w:r w:rsidR="00852CE2" w:rsidRPr="00CC1AD1">
        <w:rPr>
          <w:rFonts w:ascii="Times New Roman" w:hAnsi="Times New Roman" w:cs="Times New Roman"/>
          <w:sz w:val="20"/>
          <w:szCs w:val="20"/>
        </w:rPr>
        <w:t>two</w:t>
      </w:r>
      <w:r w:rsidR="00F17F7F" w:rsidRPr="00CC1AD1">
        <w:rPr>
          <w:rFonts w:ascii="Times New Roman" w:hAnsi="Times New Roman" w:cs="Times New Roman"/>
          <w:sz w:val="20"/>
          <w:szCs w:val="20"/>
        </w:rPr>
        <w:t xml:space="preserve"> standard steel bridges from January 20</w:t>
      </w:r>
      <w:r w:rsidR="00EC16E2" w:rsidRPr="00CC1AD1">
        <w:rPr>
          <w:rFonts w:ascii="Times New Roman" w:hAnsi="Times New Roman" w:cs="Times New Roman"/>
          <w:sz w:val="20"/>
          <w:szCs w:val="20"/>
        </w:rPr>
        <w:t>14</w:t>
      </w:r>
      <w:r w:rsidR="00F17F7F" w:rsidRPr="00CC1AD1">
        <w:rPr>
          <w:rFonts w:ascii="Times New Roman" w:hAnsi="Times New Roman" w:cs="Times New Roman"/>
          <w:sz w:val="20"/>
          <w:szCs w:val="20"/>
        </w:rPr>
        <w:t xml:space="preserve"> through June 2018. </w:t>
      </w:r>
    </w:p>
    <w:p w:rsidR="0005161D" w:rsidRPr="00CC1AD1" w:rsidRDefault="0005161D" w:rsidP="0005161D">
      <w:pPr>
        <w:spacing w:after="0" w:line="240" w:lineRule="auto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05161D" w:rsidRPr="00CC1AD1" w:rsidRDefault="0005161D" w:rsidP="0005161D">
      <w:pPr>
        <w:spacing w:after="0" w:line="240" w:lineRule="auto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CC1AD1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Total Standard Steel and Concrete Bridges let by </w:t>
      </w:r>
      <w:proofErr w:type="spellStart"/>
      <w:r w:rsidRPr="00CC1AD1">
        <w:rPr>
          <w:rFonts w:ascii="Times New Roman" w:hAnsi="Times New Roman" w:cs="Times New Roman"/>
          <w:b/>
          <w:color w:val="C00000"/>
          <w:sz w:val="20"/>
          <w:szCs w:val="20"/>
        </w:rPr>
        <w:t>MoDOT</w:t>
      </w:r>
      <w:proofErr w:type="spellEnd"/>
      <w:r w:rsidRPr="00CC1AD1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between January 2014 and June 2018: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80"/>
        <w:gridCol w:w="1440"/>
        <w:gridCol w:w="1800"/>
        <w:gridCol w:w="1255"/>
        <w:gridCol w:w="2705"/>
      </w:tblGrid>
      <w:tr w:rsidR="0005161D" w:rsidRPr="00CC1AD1" w:rsidTr="008E0A6B"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1D" w:rsidRPr="00CC1AD1" w:rsidRDefault="0005161D" w:rsidP="008E0A6B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C00000"/>
          </w:tcPr>
          <w:p w:rsidR="0005161D" w:rsidRPr="00CC1AD1" w:rsidRDefault="0005161D" w:rsidP="008E0A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CC1AD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Total Spent</w:t>
            </w:r>
          </w:p>
        </w:tc>
        <w:tc>
          <w:tcPr>
            <w:tcW w:w="1800" w:type="dxa"/>
            <w:shd w:val="clear" w:color="auto" w:fill="C00000"/>
          </w:tcPr>
          <w:p w:rsidR="0005161D" w:rsidRPr="00CC1AD1" w:rsidRDefault="0005161D" w:rsidP="008E0A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CC1AD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Total Number</w:t>
            </w:r>
          </w:p>
        </w:tc>
        <w:tc>
          <w:tcPr>
            <w:tcW w:w="1255" w:type="dxa"/>
            <w:shd w:val="clear" w:color="auto" w:fill="C00000"/>
          </w:tcPr>
          <w:p w:rsidR="0005161D" w:rsidRPr="00CC1AD1" w:rsidRDefault="0005161D" w:rsidP="008E0A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CC1AD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Percentage</w:t>
            </w:r>
          </w:p>
        </w:tc>
        <w:tc>
          <w:tcPr>
            <w:tcW w:w="2705" w:type="dxa"/>
            <w:shd w:val="clear" w:color="auto" w:fill="C00000"/>
          </w:tcPr>
          <w:p w:rsidR="0005161D" w:rsidRPr="00CC1AD1" w:rsidRDefault="0005161D" w:rsidP="008E0A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CC1AD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Average Cost Per Sq. Ft.</w:t>
            </w:r>
          </w:p>
        </w:tc>
      </w:tr>
      <w:tr w:rsidR="0005161D" w:rsidRPr="00CC1AD1" w:rsidTr="008E0A6B">
        <w:tc>
          <w:tcPr>
            <w:tcW w:w="1080" w:type="dxa"/>
            <w:tcBorders>
              <w:top w:val="single" w:sz="4" w:space="0" w:color="auto"/>
            </w:tcBorders>
            <w:shd w:val="clear" w:color="auto" w:fill="C00000"/>
          </w:tcPr>
          <w:p w:rsidR="0005161D" w:rsidRPr="00CC1AD1" w:rsidRDefault="0005161D" w:rsidP="008E0A6B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Steel </w:t>
            </w:r>
          </w:p>
        </w:tc>
        <w:tc>
          <w:tcPr>
            <w:tcW w:w="1440" w:type="dxa"/>
          </w:tcPr>
          <w:p w:rsidR="0005161D" w:rsidRPr="00CC1AD1" w:rsidRDefault="0005161D" w:rsidP="008E0A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D1">
              <w:rPr>
                <w:rFonts w:ascii="Times New Roman" w:hAnsi="Times New Roman" w:cs="Times New Roman"/>
                <w:sz w:val="20"/>
                <w:szCs w:val="20"/>
              </w:rPr>
              <w:t>$663,389</w:t>
            </w:r>
          </w:p>
        </w:tc>
        <w:tc>
          <w:tcPr>
            <w:tcW w:w="1800" w:type="dxa"/>
          </w:tcPr>
          <w:p w:rsidR="0005161D" w:rsidRPr="00CC1AD1" w:rsidRDefault="0005161D" w:rsidP="008E0A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5" w:type="dxa"/>
          </w:tcPr>
          <w:p w:rsidR="0005161D" w:rsidRPr="00CC1AD1" w:rsidRDefault="0005161D" w:rsidP="008E0A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D1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2705" w:type="dxa"/>
          </w:tcPr>
          <w:p w:rsidR="0005161D" w:rsidRPr="00CC1AD1" w:rsidRDefault="0005161D" w:rsidP="008E0A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D1">
              <w:rPr>
                <w:rFonts w:ascii="Times New Roman" w:hAnsi="Times New Roman" w:cs="Times New Roman"/>
                <w:sz w:val="20"/>
                <w:szCs w:val="20"/>
              </w:rPr>
              <w:t>$90</w:t>
            </w:r>
          </w:p>
        </w:tc>
      </w:tr>
      <w:tr w:rsidR="0005161D" w:rsidRPr="00CC1AD1" w:rsidTr="008E0A6B">
        <w:tc>
          <w:tcPr>
            <w:tcW w:w="1080" w:type="dxa"/>
            <w:shd w:val="clear" w:color="auto" w:fill="C00000"/>
          </w:tcPr>
          <w:p w:rsidR="0005161D" w:rsidRPr="00CC1AD1" w:rsidRDefault="0005161D" w:rsidP="008E0A6B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D1">
              <w:rPr>
                <w:rFonts w:ascii="Times New Roman" w:hAnsi="Times New Roman" w:cs="Times New Roman"/>
                <w:b/>
                <w:sz w:val="20"/>
                <w:szCs w:val="20"/>
              </w:rPr>
              <w:t>Concrete</w:t>
            </w:r>
          </w:p>
        </w:tc>
        <w:tc>
          <w:tcPr>
            <w:tcW w:w="1440" w:type="dxa"/>
          </w:tcPr>
          <w:p w:rsidR="0005161D" w:rsidRPr="00CC1AD1" w:rsidRDefault="0005161D" w:rsidP="008E0A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D1">
              <w:rPr>
                <w:rFonts w:ascii="Times New Roman" w:hAnsi="Times New Roman" w:cs="Times New Roman"/>
                <w:sz w:val="20"/>
                <w:szCs w:val="20"/>
              </w:rPr>
              <w:t>$166,965,592</w:t>
            </w:r>
          </w:p>
        </w:tc>
        <w:tc>
          <w:tcPr>
            <w:tcW w:w="1800" w:type="dxa"/>
          </w:tcPr>
          <w:p w:rsidR="0005161D" w:rsidRPr="00CC1AD1" w:rsidRDefault="0005161D" w:rsidP="008E0A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D1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255" w:type="dxa"/>
          </w:tcPr>
          <w:p w:rsidR="0005161D" w:rsidRPr="00CC1AD1" w:rsidRDefault="0005161D" w:rsidP="008E0A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D1">
              <w:rPr>
                <w:rFonts w:ascii="Times New Roman" w:hAnsi="Times New Roman" w:cs="Times New Roman"/>
                <w:sz w:val="20"/>
                <w:szCs w:val="20"/>
              </w:rPr>
              <w:t>99%</w:t>
            </w:r>
          </w:p>
        </w:tc>
        <w:tc>
          <w:tcPr>
            <w:tcW w:w="2705" w:type="dxa"/>
          </w:tcPr>
          <w:p w:rsidR="0005161D" w:rsidRPr="00CC1AD1" w:rsidRDefault="0005161D" w:rsidP="008E0A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D1">
              <w:rPr>
                <w:rFonts w:ascii="Times New Roman" w:hAnsi="Times New Roman" w:cs="Times New Roman"/>
                <w:sz w:val="20"/>
                <w:szCs w:val="20"/>
              </w:rPr>
              <w:t>$102</w:t>
            </w:r>
          </w:p>
        </w:tc>
      </w:tr>
    </w:tbl>
    <w:p w:rsidR="0005161D" w:rsidRPr="00CC1AD1" w:rsidRDefault="0005161D" w:rsidP="00DA0D0E">
      <w:pPr>
        <w:spacing w:after="60" w:line="240" w:lineRule="auto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632107" w:rsidRPr="00CC1AD1" w:rsidRDefault="00C63097" w:rsidP="00DA0D0E">
      <w:pPr>
        <w:spacing w:after="60" w:line="240" w:lineRule="auto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CC1AD1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Other </w:t>
      </w:r>
      <w:r w:rsidR="00441050" w:rsidRPr="00CC1AD1">
        <w:rPr>
          <w:rFonts w:ascii="Times New Roman" w:hAnsi="Times New Roman" w:cs="Times New Roman"/>
          <w:b/>
          <w:color w:val="C00000"/>
          <w:sz w:val="20"/>
          <w:szCs w:val="20"/>
        </w:rPr>
        <w:t>Advantages of Steel</w:t>
      </w:r>
      <w:r w:rsidR="0005161D" w:rsidRPr="00CC1AD1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in Addition to Initial Cost</w:t>
      </w:r>
    </w:p>
    <w:p w:rsidR="00632107" w:rsidRPr="00CC1AD1" w:rsidRDefault="00632107" w:rsidP="00226FE5">
      <w:pPr>
        <w:pStyle w:val="ListParagraph"/>
        <w:numPr>
          <w:ilvl w:val="1"/>
          <w:numId w:val="3"/>
        </w:numPr>
        <w:spacing w:after="0" w:line="240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CC1AD1">
        <w:rPr>
          <w:rFonts w:ascii="Times New Roman" w:hAnsi="Times New Roman" w:cs="Times New Roman"/>
          <w:sz w:val="20"/>
          <w:szCs w:val="20"/>
          <w:u w:val="single"/>
        </w:rPr>
        <w:t>Adaptability and Repairability</w:t>
      </w:r>
      <w:r w:rsidRPr="00CC1AD1">
        <w:rPr>
          <w:rFonts w:ascii="Times New Roman" w:hAnsi="Times New Roman" w:cs="Times New Roman"/>
          <w:sz w:val="20"/>
          <w:szCs w:val="20"/>
        </w:rPr>
        <w:t xml:space="preserve"> – Steel bridges can easily be widened, lengthened, strengthened, re-decked, and modified to accommodate future needs</w:t>
      </w:r>
      <w:r w:rsidR="000F1E7B" w:rsidRPr="00CC1AD1">
        <w:rPr>
          <w:rFonts w:ascii="Times New Roman" w:hAnsi="Times New Roman" w:cs="Times New Roman"/>
          <w:sz w:val="20"/>
          <w:szCs w:val="20"/>
        </w:rPr>
        <w:t>,</w:t>
      </w:r>
      <w:r w:rsidR="00EC16E2" w:rsidRPr="00CC1AD1">
        <w:rPr>
          <w:rFonts w:ascii="Times New Roman" w:hAnsi="Times New Roman" w:cs="Times New Roman"/>
          <w:sz w:val="20"/>
          <w:szCs w:val="20"/>
        </w:rPr>
        <w:t xml:space="preserve"> and sections can be repaired </w:t>
      </w:r>
      <w:r w:rsidR="00110991" w:rsidRPr="00CC1AD1">
        <w:rPr>
          <w:rFonts w:ascii="Times New Roman" w:hAnsi="Times New Roman" w:cs="Times New Roman"/>
          <w:sz w:val="20"/>
          <w:szCs w:val="20"/>
        </w:rPr>
        <w:t>quick</w:t>
      </w:r>
      <w:r w:rsidR="00844EB3" w:rsidRPr="00CC1AD1">
        <w:rPr>
          <w:rFonts w:ascii="Times New Roman" w:hAnsi="Times New Roman" w:cs="Times New Roman"/>
          <w:sz w:val="20"/>
          <w:szCs w:val="20"/>
        </w:rPr>
        <w:t>ly</w:t>
      </w:r>
      <w:r w:rsidR="00110991" w:rsidRPr="00CC1AD1">
        <w:rPr>
          <w:rFonts w:ascii="Times New Roman" w:hAnsi="Times New Roman" w:cs="Times New Roman"/>
          <w:sz w:val="20"/>
          <w:szCs w:val="20"/>
        </w:rPr>
        <w:t xml:space="preserve"> and easily.</w:t>
      </w:r>
    </w:p>
    <w:p w:rsidR="00632107" w:rsidRPr="00CC1AD1" w:rsidRDefault="00632107" w:rsidP="00226FE5">
      <w:pPr>
        <w:pStyle w:val="ListParagraph"/>
        <w:numPr>
          <w:ilvl w:val="1"/>
          <w:numId w:val="3"/>
        </w:numPr>
        <w:spacing w:after="0" w:line="240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CC1AD1">
        <w:rPr>
          <w:rFonts w:ascii="Times New Roman" w:hAnsi="Times New Roman" w:cs="Times New Roman"/>
          <w:sz w:val="20"/>
          <w:szCs w:val="20"/>
          <w:u w:val="single"/>
        </w:rPr>
        <w:t>Renewability</w:t>
      </w:r>
      <w:r w:rsidRPr="00CC1AD1">
        <w:rPr>
          <w:rFonts w:ascii="Times New Roman" w:hAnsi="Times New Roman" w:cs="Times New Roman"/>
          <w:sz w:val="20"/>
          <w:szCs w:val="20"/>
        </w:rPr>
        <w:t xml:space="preserve"> – </w:t>
      </w:r>
      <w:r w:rsidR="002A714E" w:rsidRPr="00CC1AD1">
        <w:rPr>
          <w:rFonts w:ascii="Times New Roman" w:hAnsi="Times New Roman" w:cs="Times New Roman"/>
          <w:sz w:val="20"/>
          <w:szCs w:val="20"/>
        </w:rPr>
        <w:t xml:space="preserve">Steel is the most recycled material on earth. </w:t>
      </w:r>
      <w:r w:rsidR="00F93681" w:rsidRPr="00CC1AD1">
        <w:rPr>
          <w:rFonts w:ascii="Times New Roman" w:hAnsi="Times New Roman" w:cs="Times New Roman"/>
          <w:sz w:val="20"/>
          <w:szCs w:val="20"/>
        </w:rPr>
        <w:t>R</w:t>
      </w:r>
      <w:r w:rsidRPr="00CC1AD1">
        <w:rPr>
          <w:rFonts w:ascii="Times New Roman" w:hAnsi="Times New Roman" w:cs="Times New Roman"/>
          <w:sz w:val="20"/>
          <w:szCs w:val="20"/>
        </w:rPr>
        <w:t>ecycled content of structural steel is over 90%</w:t>
      </w:r>
      <w:r w:rsidR="00CB46BF" w:rsidRPr="00CC1AD1">
        <w:rPr>
          <w:rFonts w:ascii="Times New Roman" w:hAnsi="Times New Roman" w:cs="Times New Roman"/>
          <w:sz w:val="20"/>
          <w:szCs w:val="20"/>
        </w:rPr>
        <w:t>.</w:t>
      </w:r>
      <w:r w:rsidRPr="00CC1AD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2107" w:rsidRPr="00CC1AD1" w:rsidRDefault="00EC16E2" w:rsidP="00226FE5">
      <w:pPr>
        <w:pStyle w:val="ListParagraph"/>
        <w:numPr>
          <w:ilvl w:val="1"/>
          <w:numId w:val="3"/>
        </w:numPr>
        <w:spacing w:after="0" w:line="240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CC1AD1">
        <w:rPr>
          <w:rFonts w:ascii="Times New Roman" w:hAnsi="Times New Roman" w:cs="Times New Roman"/>
          <w:sz w:val="20"/>
          <w:szCs w:val="20"/>
          <w:u w:val="single"/>
        </w:rPr>
        <w:t>Efficiency</w:t>
      </w:r>
      <w:r w:rsidR="00632107" w:rsidRPr="00CC1AD1">
        <w:rPr>
          <w:rFonts w:ascii="Times New Roman" w:hAnsi="Times New Roman" w:cs="Times New Roman"/>
          <w:sz w:val="20"/>
          <w:szCs w:val="20"/>
        </w:rPr>
        <w:t xml:space="preserve"> – Steel’s span-to-depth ratio is more efficient than concrete’s</w:t>
      </w:r>
      <w:r w:rsidRPr="00CC1AD1">
        <w:rPr>
          <w:rFonts w:ascii="Times New Roman" w:hAnsi="Times New Roman" w:cs="Times New Roman"/>
          <w:sz w:val="20"/>
          <w:szCs w:val="20"/>
        </w:rPr>
        <w:t>, reducing fill dirt</w:t>
      </w:r>
      <w:r w:rsidR="000F1E7B" w:rsidRPr="00CC1AD1">
        <w:rPr>
          <w:rFonts w:ascii="Times New Roman" w:hAnsi="Times New Roman" w:cs="Times New Roman"/>
          <w:sz w:val="20"/>
          <w:szCs w:val="20"/>
        </w:rPr>
        <w:t xml:space="preserve"> required</w:t>
      </w:r>
      <w:r w:rsidRPr="00CC1AD1">
        <w:rPr>
          <w:rFonts w:ascii="Times New Roman" w:hAnsi="Times New Roman" w:cs="Times New Roman"/>
          <w:sz w:val="20"/>
          <w:szCs w:val="20"/>
        </w:rPr>
        <w:t xml:space="preserve"> at approaches.</w:t>
      </w:r>
    </w:p>
    <w:p w:rsidR="00632107" w:rsidRPr="00CC1AD1" w:rsidRDefault="00EC16E2" w:rsidP="00226FE5">
      <w:pPr>
        <w:pStyle w:val="ListParagraph"/>
        <w:numPr>
          <w:ilvl w:val="1"/>
          <w:numId w:val="3"/>
        </w:numPr>
        <w:spacing w:after="0" w:line="240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CC1AD1">
        <w:rPr>
          <w:rFonts w:ascii="Times New Roman" w:hAnsi="Times New Roman" w:cs="Times New Roman"/>
          <w:sz w:val="20"/>
          <w:szCs w:val="20"/>
          <w:u w:val="single"/>
        </w:rPr>
        <w:t>Constructability</w:t>
      </w:r>
      <w:r w:rsidRPr="00CC1AD1">
        <w:rPr>
          <w:rFonts w:ascii="Times New Roman" w:hAnsi="Times New Roman" w:cs="Times New Roman"/>
          <w:sz w:val="20"/>
          <w:szCs w:val="20"/>
        </w:rPr>
        <w:t xml:space="preserve"> – Steel girders are lighter than concrete girders for the same span</w:t>
      </w:r>
      <w:r w:rsidR="000F1E7B" w:rsidRPr="00CC1AD1">
        <w:rPr>
          <w:rFonts w:ascii="Times New Roman" w:hAnsi="Times New Roman" w:cs="Times New Roman"/>
          <w:sz w:val="20"/>
          <w:szCs w:val="20"/>
        </w:rPr>
        <w:t>,</w:t>
      </w:r>
      <w:r w:rsidRPr="00CC1AD1">
        <w:rPr>
          <w:rFonts w:ascii="Times New Roman" w:hAnsi="Times New Roman" w:cs="Times New Roman"/>
          <w:sz w:val="20"/>
          <w:szCs w:val="20"/>
        </w:rPr>
        <w:t xml:space="preserve"> which enables the use of smaller capacity cranes. </w:t>
      </w:r>
    </w:p>
    <w:p w:rsidR="008D7F07" w:rsidRPr="00CC1AD1" w:rsidRDefault="00EC16E2" w:rsidP="0005161D">
      <w:pPr>
        <w:pStyle w:val="ListParagraph"/>
        <w:numPr>
          <w:ilvl w:val="1"/>
          <w:numId w:val="3"/>
        </w:numPr>
        <w:spacing w:after="0" w:line="240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CC1AD1">
        <w:rPr>
          <w:rFonts w:ascii="Times New Roman" w:hAnsi="Times New Roman" w:cs="Times New Roman"/>
          <w:sz w:val="20"/>
          <w:szCs w:val="20"/>
          <w:u w:val="single"/>
        </w:rPr>
        <w:t xml:space="preserve">Reusability </w:t>
      </w:r>
      <w:r w:rsidRPr="00CC1AD1">
        <w:rPr>
          <w:rFonts w:ascii="Times New Roman" w:hAnsi="Times New Roman" w:cs="Times New Roman"/>
          <w:sz w:val="20"/>
          <w:szCs w:val="20"/>
        </w:rPr>
        <w:t xml:space="preserve">– Old beams/girders can be used for new bridges, as falsework support by contractors, or </w:t>
      </w:r>
      <w:r w:rsidR="003F0266" w:rsidRPr="00CC1AD1">
        <w:rPr>
          <w:rFonts w:ascii="Times New Roman" w:hAnsi="Times New Roman" w:cs="Times New Roman"/>
          <w:sz w:val="20"/>
          <w:szCs w:val="20"/>
        </w:rPr>
        <w:t>recycled.</w:t>
      </w:r>
      <w:bookmarkStart w:id="0" w:name="_GoBack"/>
      <w:bookmarkEnd w:id="0"/>
    </w:p>
    <w:sectPr w:rsidR="008D7F07" w:rsidRPr="00CC1AD1" w:rsidSect="00542261">
      <w:footerReference w:type="default" r:id="rId11"/>
      <w:pgSz w:w="12240" w:h="15840"/>
      <w:pgMar w:top="720" w:right="720" w:bottom="720" w:left="720" w:header="720" w:footer="720" w:gutter="0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15B" w:rsidRDefault="00CF415B" w:rsidP="000F1E7B">
      <w:pPr>
        <w:spacing w:after="0" w:line="240" w:lineRule="auto"/>
      </w:pPr>
      <w:r>
        <w:separator/>
      </w:r>
    </w:p>
  </w:endnote>
  <w:endnote w:type="continuationSeparator" w:id="0">
    <w:p w:rsidR="00CF415B" w:rsidRDefault="00CF415B" w:rsidP="000F1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E7B" w:rsidRPr="000F1E7B" w:rsidRDefault="000F1E7B" w:rsidP="000F1E7B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0F1E7B">
      <w:rPr>
        <w:rFonts w:ascii="Times New Roman" w:hAnsi="Times New Roman" w:cs="Times New Roman"/>
        <w:sz w:val="20"/>
        <w:szCs w:val="20"/>
      </w:rPr>
      <w:t>DeLong’s, Inc. ▪ 573-635-6121 ▪ www.delongsinc.com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15B" w:rsidRDefault="00CF415B" w:rsidP="000F1E7B">
      <w:pPr>
        <w:spacing w:after="0" w:line="240" w:lineRule="auto"/>
      </w:pPr>
      <w:r>
        <w:separator/>
      </w:r>
    </w:p>
  </w:footnote>
  <w:footnote w:type="continuationSeparator" w:id="0">
    <w:p w:rsidR="00CF415B" w:rsidRDefault="00CF415B" w:rsidP="000F1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2DEE"/>
    <w:multiLevelType w:val="hybridMultilevel"/>
    <w:tmpl w:val="765C3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549F2"/>
    <w:multiLevelType w:val="hybridMultilevel"/>
    <w:tmpl w:val="43D81ABA"/>
    <w:lvl w:ilvl="0" w:tplc="527014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057F9"/>
    <w:multiLevelType w:val="hybridMultilevel"/>
    <w:tmpl w:val="095E9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7E8AE5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844656"/>
    <w:multiLevelType w:val="hybridMultilevel"/>
    <w:tmpl w:val="A0AA24A6"/>
    <w:lvl w:ilvl="0" w:tplc="7DBE3F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C54C0"/>
    <w:multiLevelType w:val="hybridMultilevel"/>
    <w:tmpl w:val="F9445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A09D3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874559"/>
    <w:multiLevelType w:val="hybridMultilevel"/>
    <w:tmpl w:val="DAA0AB08"/>
    <w:lvl w:ilvl="0" w:tplc="88303A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65188"/>
    <w:multiLevelType w:val="hybridMultilevel"/>
    <w:tmpl w:val="33FA653E"/>
    <w:lvl w:ilvl="0" w:tplc="53A2E8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0559A"/>
    <w:multiLevelType w:val="hybridMultilevel"/>
    <w:tmpl w:val="C3367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860A4D"/>
    <w:multiLevelType w:val="hybridMultilevel"/>
    <w:tmpl w:val="D7F69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1A"/>
    <w:rsid w:val="00031A0C"/>
    <w:rsid w:val="0004511B"/>
    <w:rsid w:val="0005161D"/>
    <w:rsid w:val="000F1E7B"/>
    <w:rsid w:val="00110991"/>
    <w:rsid w:val="00226FE5"/>
    <w:rsid w:val="002768D3"/>
    <w:rsid w:val="0029098A"/>
    <w:rsid w:val="002A714E"/>
    <w:rsid w:val="002D60FA"/>
    <w:rsid w:val="00303448"/>
    <w:rsid w:val="00327404"/>
    <w:rsid w:val="003604ED"/>
    <w:rsid w:val="0036725F"/>
    <w:rsid w:val="003F0266"/>
    <w:rsid w:val="00441050"/>
    <w:rsid w:val="004D6228"/>
    <w:rsid w:val="00500548"/>
    <w:rsid w:val="005243CF"/>
    <w:rsid w:val="00542261"/>
    <w:rsid w:val="00632107"/>
    <w:rsid w:val="006D2907"/>
    <w:rsid w:val="007421D6"/>
    <w:rsid w:val="007472E5"/>
    <w:rsid w:val="007F0278"/>
    <w:rsid w:val="007F3113"/>
    <w:rsid w:val="00810666"/>
    <w:rsid w:val="00821BCC"/>
    <w:rsid w:val="00844EB3"/>
    <w:rsid w:val="00852CE2"/>
    <w:rsid w:val="00874509"/>
    <w:rsid w:val="008A1F1A"/>
    <w:rsid w:val="008A7C35"/>
    <w:rsid w:val="008D7F07"/>
    <w:rsid w:val="008E51D4"/>
    <w:rsid w:val="00925A59"/>
    <w:rsid w:val="00984C66"/>
    <w:rsid w:val="009B1594"/>
    <w:rsid w:val="009C6001"/>
    <w:rsid w:val="009E26B0"/>
    <w:rsid w:val="00A213D0"/>
    <w:rsid w:val="00AD45C5"/>
    <w:rsid w:val="00B36C18"/>
    <w:rsid w:val="00B65AE9"/>
    <w:rsid w:val="00C4058B"/>
    <w:rsid w:val="00C63097"/>
    <w:rsid w:val="00CA75AD"/>
    <w:rsid w:val="00CB03C8"/>
    <w:rsid w:val="00CB46BF"/>
    <w:rsid w:val="00CC1AD1"/>
    <w:rsid w:val="00CC1B41"/>
    <w:rsid w:val="00CF415B"/>
    <w:rsid w:val="00D03CC1"/>
    <w:rsid w:val="00D32165"/>
    <w:rsid w:val="00D8196C"/>
    <w:rsid w:val="00DA0D0E"/>
    <w:rsid w:val="00DC56C8"/>
    <w:rsid w:val="00E01EF5"/>
    <w:rsid w:val="00E94A5F"/>
    <w:rsid w:val="00EA735C"/>
    <w:rsid w:val="00EC16E2"/>
    <w:rsid w:val="00EC6E46"/>
    <w:rsid w:val="00EE2728"/>
    <w:rsid w:val="00F101CA"/>
    <w:rsid w:val="00F17F7F"/>
    <w:rsid w:val="00F93681"/>
    <w:rsid w:val="00FB2110"/>
    <w:rsid w:val="00FE43BD"/>
    <w:rsid w:val="00FE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F53F2-347A-4CEA-BF2E-2FEA5586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F1A"/>
    <w:pPr>
      <w:ind w:left="720"/>
      <w:contextualSpacing/>
    </w:pPr>
  </w:style>
  <w:style w:type="table" w:styleId="TableGrid">
    <w:name w:val="Table Grid"/>
    <w:basedOn w:val="TableNormal"/>
    <w:uiPriority w:val="39"/>
    <w:rsid w:val="00F9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E7B"/>
  </w:style>
  <w:style w:type="paragraph" w:styleId="Footer">
    <w:name w:val="footer"/>
    <w:basedOn w:val="Normal"/>
    <w:link w:val="FooterChar"/>
    <w:uiPriority w:val="99"/>
    <w:unhideWhenUsed/>
    <w:rsid w:val="000F1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A2A36-5B74-4230-B35A-D9E1D57DD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365</Words>
  <Characters>2081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Delong</dc:creator>
  <cp:keywords/>
  <dc:description/>
  <cp:lastModifiedBy>Kyla N. Asel</cp:lastModifiedBy>
  <cp:revision>2</cp:revision>
  <cp:lastPrinted>2018-10-31T13:58:00Z</cp:lastPrinted>
  <dcterms:created xsi:type="dcterms:W3CDTF">2018-10-31T14:44:00Z</dcterms:created>
  <dcterms:modified xsi:type="dcterms:W3CDTF">2018-10-31T14:44:00Z</dcterms:modified>
</cp:coreProperties>
</file>